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D79C" w14:textId="77777777" w:rsidR="00641D33" w:rsidRPr="008C4742" w:rsidRDefault="00641D33" w:rsidP="00641D33">
      <w:pPr>
        <w:jc w:val="center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PÁLYÁZATI KIÍRÁS</w:t>
      </w:r>
    </w:p>
    <w:p w14:paraId="12894D46" w14:textId="77777777" w:rsidR="00641D33" w:rsidRPr="008C4742" w:rsidRDefault="00641D33" w:rsidP="00641D33">
      <w:pPr>
        <w:jc w:val="center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</w:p>
    <w:p w14:paraId="3866227D" w14:textId="77777777" w:rsidR="00641D33" w:rsidRPr="008C4742" w:rsidRDefault="00641D33" w:rsidP="008C4742">
      <w:pPr>
        <w:ind w:right="6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Székesfehérvár Megyei Jogú Város Önkormányzata (8000 Székesfehérvár, Városház tér 1.) az önkormányzat tulajdonában lévő lakások és nem lakás céljára szolgáló helyiségek bérletéről és elidegenítéséről szóló 48/2010. (XII. 14.) önkormányzati rendelet alapján nyilvános pályázatot hirdet az alábbi, kizárólagos tulajdonában álló, székesfehérvári nem lakás céljára szolgáló helyiségek értékesítésére:</w:t>
      </w:r>
    </w:p>
    <w:p w14:paraId="4145E7C2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992"/>
        <w:gridCol w:w="851"/>
        <w:gridCol w:w="708"/>
        <w:gridCol w:w="3119"/>
        <w:gridCol w:w="1417"/>
      </w:tblGrid>
      <w:tr w:rsidR="008C4742" w:rsidRPr="008C4742" w14:paraId="3E6F3146" w14:textId="77777777" w:rsidTr="008C4742">
        <w:trPr>
          <w:trHeight w:val="528"/>
        </w:trPr>
        <w:tc>
          <w:tcPr>
            <w:tcW w:w="284" w:type="dxa"/>
            <w:shd w:val="clear" w:color="000000" w:fill="BFBFBF"/>
            <w:vAlign w:val="center"/>
          </w:tcPr>
          <w:p w14:paraId="31D8C8DB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  <w:p w14:paraId="649E490E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BFBFBF"/>
            <w:noWrap/>
            <w:vAlign w:val="center"/>
          </w:tcPr>
          <w:p w14:paraId="27659393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Cím</w:t>
            </w:r>
          </w:p>
          <w:p w14:paraId="7EDB410B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(Székesfehérvár)</w:t>
            </w:r>
          </w:p>
        </w:tc>
        <w:tc>
          <w:tcPr>
            <w:tcW w:w="992" w:type="dxa"/>
            <w:shd w:val="clear" w:color="000000" w:fill="BFBFBF"/>
            <w:vAlign w:val="center"/>
          </w:tcPr>
          <w:p w14:paraId="3C5B509C" w14:textId="77777777" w:rsidR="00641D33" w:rsidRPr="008C4742" w:rsidRDefault="00641D33" w:rsidP="003F759F">
            <w:pPr>
              <w:ind w:left="-64" w:right="-72"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Megnevezés</w:t>
            </w:r>
          </w:p>
          <w:p w14:paraId="16305634" w14:textId="77777777" w:rsidR="00641D33" w:rsidRPr="008C4742" w:rsidRDefault="00641D33" w:rsidP="003F759F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BFBFBF"/>
            <w:noWrap/>
            <w:vAlign w:val="center"/>
          </w:tcPr>
          <w:p w14:paraId="5767C116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Hrsz.</w:t>
            </w:r>
          </w:p>
          <w:p w14:paraId="42674BAC" w14:textId="77777777" w:rsidR="00641D33" w:rsidRPr="008C4742" w:rsidRDefault="00641D33" w:rsidP="003F759F">
            <w:pPr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BFBFBF"/>
            <w:vAlign w:val="center"/>
          </w:tcPr>
          <w:p w14:paraId="0FCEE7CB" w14:textId="77777777" w:rsidR="00641D33" w:rsidRPr="008C4742" w:rsidRDefault="00641D33" w:rsidP="003F759F">
            <w:pPr>
              <w:ind w:left="-70" w:right="-71"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Terület</w:t>
            </w:r>
          </w:p>
          <w:p w14:paraId="0F9F1637" w14:textId="77777777" w:rsidR="00641D33" w:rsidRPr="008C4742" w:rsidRDefault="00641D33" w:rsidP="003F759F">
            <w:pPr>
              <w:ind w:left="-70" w:right="-71"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(m2)</w:t>
            </w:r>
          </w:p>
        </w:tc>
        <w:tc>
          <w:tcPr>
            <w:tcW w:w="3119" w:type="dxa"/>
            <w:shd w:val="clear" w:color="000000" w:fill="BFBFBF"/>
          </w:tcPr>
          <w:p w14:paraId="6523E9AF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  <w:p w14:paraId="2DC8D723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Állapot</w:t>
            </w:r>
          </w:p>
        </w:tc>
        <w:tc>
          <w:tcPr>
            <w:tcW w:w="1417" w:type="dxa"/>
            <w:shd w:val="clear" w:color="000000" w:fill="BFBFBF"/>
            <w:noWrap/>
            <w:vAlign w:val="center"/>
          </w:tcPr>
          <w:p w14:paraId="0CF21729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Minimális eladási ár (bruttó Ft)</w:t>
            </w:r>
          </w:p>
        </w:tc>
      </w:tr>
      <w:tr w:rsidR="008C4742" w:rsidRPr="008C4742" w14:paraId="439A4F91" w14:textId="77777777" w:rsidTr="008C4742">
        <w:trPr>
          <w:trHeight w:val="277"/>
        </w:trPr>
        <w:tc>
          <w:tcPr>
            <w:tcW w:w="284" w:type="dxa"/>
            <w:vAlign w:val="center"/>
          </w:tcPr>
          <w:p w14:paraId="4AC218CE" w14:textId="77777777" w:rsidR="00641D33" w:rsidRPr="008C4742" w:rsidRDefault="00641D33" w:rsidP="00641D33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bookmarkStart w:id="0" w:name="_Hlk198898596"/>
          </w:p>
        </w:tc>
        <w:tc>
          <w:tcPr>
            <w:tcW w:w="1701" w:type="dxa"/>
            <w:noWrap/>
            <w:vAlign w:val="center"/>
          </w:tcPr>
          <w:p w14:paraId="133E7087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Basa utca 1. </w:t>
            </w:r>
          </w:p>
          <w:p w14:paraId="5D6FAEC7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pinceszint 1.  </w:t>
            </w:r>
          </w:p>
        </w:tc>
        <w:tc>
          <w:tcPr>
            <w:tcW w:w="992" w:type="dxa"/>
            <w:vAlign w:val="center"/>
          </w:tcPr>
          <w:p w14:paraId="2090E9ED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óvóhely</w:t>
            </w:r>
          </w:p>
        </w:tc>
        <w:tc>
          <w:tcPr>
            <w:tcW w:w="851" w:type="dxa"/>
            <w:noWrap/>
            <w:vAlign w:val="center"/>
          </w:tcPr>
          <w:p w14:paraId="726AF692" w14:textId="77777777" w:rsidR="00641D33" w:rsidRPr="008C4742" w:rsidRDefault="00641D33" w:rsidP="003F759F">
            <w:pPr>
              <w:ind w:left="-75" w:right="-69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92/A/19</w:t>
            </w:r>
          </w:p>
        </w:tc>
        <w:tc>
          <w:tcPr>
            <w:tcW w:w="708" w:type="dxa"/>
            <w:noWrap/>
            <w:vAlign w:val="center"/>
          </w:tcPr>
          <w:p w14:paraId="0C823834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3119" w:type="dxa"/>
            <w:vMerge w:val="restart"/>
          </w:tcPr>
          <w:p w14:paraId="7AB2CB6C" w14:textId="77777777" w:rsidR="00641D33" w:rsidRPr="008C4742" w:rsidRDefault="00641D33" w:rsidP="003F759F">
            <w:pPr>
              <w:ind w:right="-66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1860 körül épül ingatlanban található két helyiségcsoport.</w:t>
            </w:r>
          </w:p>
          <w:p w14:paraId="3832F8B4" w14:textId="77777777" w:rsidR="00641D33" w:rsidRPr="008C4742" w:rsidRDefault="00641D33" w:rsidP="003F759F">
            <w:pPr>
              <w:ind w:left="-62" w:right="-66" w:firstLine="62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Falazatuk vizes, aminek oka az alapszigetelés és a szellőzés hiánya. Funkciójuk legfeljebb tárolás lehet.</w:t>
            </w:r>
          </w:p>
          <w:p w14:paraId="167BDEA5" w14:textId="77777777" w:rsidR="00641D33" w:rsidRPr="008C4742" w:rsidRDefault="00641D33" w:rsidP="003F759F">
            <w:pPr>
              <w:ind w:right="-66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Az épület műemlék.</w:t>
            </w:r>
          </w:p>
        </w:tc>
        <w:tc>
          <w:tcPr>
            <w:tcW w:w="1417" w:type="dxa"/>
            <w:noWrap/>
            <w:vAlign w:val="center"/>
          </w:tcPr>
          <w:p w14:paraId="29191DD5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1.423.000,- </w:t>
            </w:r>
          </w:p>
        </w:tc>
      </w:tr>
      <w:tr w:rsidR="008C4742" w:rsidRPr="008C4742" w14:paraId="3AD96FD9" w14:textId="77777777" w:rsidTr="008C4742">
        <w:trPr>
          <w:trHeight w:val="277"/>
        </w:trPr>
        <w:tc>
          <w:tcPr>
            <w:tcW w:w="284" w:type="dxa"/>
            <w:vAlign w:val="center"/>
          </w:tcPr>
          <w:p w14:paraId="11EB49B1" w14:textId="77777777" w:rsidR="00641D33" w:rsidRPr="008C4742" w:rsidRDefault="00641D33" w:rsidP="00641D33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A76C0E1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Basa utca 1. </w:t>
            </w:r>
          </w:p>
          <w:p w14:paraId="08D22659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pinceszint 2. </w:t>
            </w:r>
          </w:p>
        </w:tc>
        <w:tc>
          <w:tcPr>
            <w:tcW w:w="992" w:type="dxa"/>
            <w:vAlign w:val="center"/>
          </w:tcPr>
          <w:p w14:paraId="0115D710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óvóhely</w:t>
            </w:r>
          </w:p>
        </w:tc>
        <w:tc>
          <w:tcPr>
            <w:tcW w:w="851" w:type="dxa"/>
            <w:noWrap/>
            <w:vAlign w:val="center"/>
          </w:tcPr>
          <w:p w14:paraId="3DE8332A" w14:textId="77777777" w:rsidR="00641D33" w:rsidRPr="008C4742" w:rsidRDefault="00641D33" w:rsidP="003F759F">
            <w:pPr>
              <w:ind w:left="-75" w:right="-69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92/A/20</w:t>
            </w:r>
          </w:p>
        </w:tc>
        <w:tc>
          <w:tcPr>
            <w:tcW w:w="708" w:type="dxa"/>
            <w:noWrap/>
            <w:vAlign w:val="center"/>
          </w:tcPr>
          <w:p w14:paraId="0FFFAE80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3119" w:type="dxa"/>
            <w:vMerge/>
          </w:tcPr>
          <w:p w14:paraId="5ED61414" w14:textId="77777777" w:rsidR="00641D33" w:rsidRPr="008C4742" w:rsidRDefault="00641D33" w:rsidP="003F759F">
            <w:pPr>
              <w:ind w:left="-62" w:right="-66" w:firstLine="62"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55CD2A37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2.049.000,-</w:t>
            </w:r>
          </w:p>
        </w:tc>
      </w:tr>
      <w:tr w:rsidR="008C4742" w:rsidRPr="008C4742" w14:paraId="28278B82" w14:textId="77777777" w:rsidTr="008C4742">
        <w:trPr>
          <w:trHeight w:val="4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F0" w14:textId="77777777" w:rsidR="00641D33" w:rsidRPr="008C4742" w:rsidRDefault="00641D33" w:rsidP="00641D33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198898677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B89D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Vörösmarty tér 6.</w:t>
            </w: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  <w:p w14:paraId="74522850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pinceszint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77A2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egyéb helyiség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2AFC" w14:textId="77777777" w:rsidR="00641D33" w:rsidRPr="008C4742" w:rsidRDefault="00641D33" w:rsidP="003F759F">
            <w:pPr>
              <w:ind w:left="-75" w:right="-69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521/A/10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8FB08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AEA" w14:textId="77777777" w:rsidR="00641D33" w:rsidRPr="008C4742" w:rsidRDefault="00641D33" w:rsidP="003F759F">
            <w:pPr>
              <w:ind w:left="-62" w:right="-66" w:firstLine="62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Téglaépület pinceszintjén elhelyezkedő, korábbi légó helyiségcsoport. Funkció: tárolás. </w:t>
            </w:r>
            <w:r w:rsidRPr="008C474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>Az épület műemlék.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3AA41" w14:textId="77777777" w:rsidR="00641D33" w:rsidRPr="008C4742" w:rsidRDefault="00641D33" w:rsidP="003F759F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8C474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1.060.000,-</w:t>
            </w:r>
          </w:p>
        </w:tc>
      </w:tr>
      <w:bookmarkEnd w:id="1"/>
    </w:tbl>
    <w:p w14:paraId="101FB280" w14:textId="77777777" w:rsidR="00641D33" w:rsidRPr="008C4742" w:rsidRDefault="00641D33" w:rsidP="00641D33">
      <w:pPr>
        <w:ind w:right="-2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2B0F9BCA" w14:textId="77777777" w:rsidR="00641D33" w:rsidRPr="008C4742" w:rsidRDefault="00641D33" w:rsidP="00641D33">
      <w:pPr>
        <w:ind w:right="-2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A meghirdetett ingatlanok kivétel nélkül társasházakban találhatók. Az ingatlanok tulajdoni lapja, alaprajza, illetőleg az érintett társasház társasházi alapító okirata a Székesfehérvári Városfejlesztési Közhasznú Nonprofit Kft.-nél (8000 Székesfehérvár, Irányi Dániel u. 4.; a továbbiakban: Városfejlesztési Kft.) megtekinthető. Az érintett ingatlant magában foglaló társasház társasházkezelője (közös képviselője) nevét, elérhetőségét a Városfejlesztési Kft. kérés esetén rendelkezésre bocsátja. </w:t>
      </w:r>
    </w:p>
    <w:p w14:paraId="10D84C35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54F04D18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Az ingatlanok per-, - a tulajdoni lap szerinti bejegyzéseken túl - teher- és igénymentesek, azonban alagsori elhelyezkedésükből, jellegükből, funkciójukból adódóan társasházi osztatlan közös tulajdonban álló vagyonelemeket (többek között: közművezetékeket, „</w:t>
      </w:r>
      <w:proofErr w:type="spellStart"/>
      <w:r w:rsidRPr="008C4742">
        <w:rPr>
          <w:rFonts w:ascii="Arial Narrow" w:hAnsi="Arial Narrow" w:cs="Arial"/>
          <w:color w:val="000000" w:themeColor="text1"/>
          <w:sz w:val="22"/>
          <w:szCs w:val="22"/>
        </w:rPr>
        <w:t>strang</w:t>
      </w:r>
      <w:proofErr w:type="spellEnd"/>
      <w:r w:rsidRPr="008C4742">
        <w:rPr>
          <w:rFonts w:ascii="Arial Narrow" w:hAnsi="Arial Narrow" w:cs="Arial"/>
          <w:color w:val="000000" w:themeColor="text1"/>
          <w:sz w:val="22"/>
          <w:szCs w:val="22"/>
        </w:rPr>
        <w:t>-csöveket, közműórákat, tartószerkezeti elemeket stb.) is tartalmazhatnak. Az ingatlan mindenkori tulajdonosát, használóját ezek a közös tulajdonban álló részek a használat, hasznosítás során esetlegesen korlátozhatják, ill. a társasházkezelő, valamint esetlegesen a tulajdonostársak, illetőleg – karbantartás, felújítás esetén – az illetékes szakemberek részére a tulajdonosnak lehetővé kell tenni a bejutást.</w:t>
      </w:r>
    </w:p>
    <w:p w14:paraId="21CA6245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6C28AEA8" w14:textId="77777777" w:rsidR="00641D33" w:rsidRPr="008C4742" w:rsidRDefault="00641D33" w:rsidP="00641D33">
      <w:pPr>
        <w:pStyle w:val="Nincstrkz"/>
        <w:jc w:val="both"/>
        <w:rPr>
          <w:rFonts w:ascii="Arial Narrow" w:eastAsia="Times New Roman" w:hAnsi="Arial Narrow" w:cs="Arial"/>
          <w:color w:val="000000" w:themeColor="text1"/>
          <w:lang w:eastAsia="hu-HU"/>
        </w:rPr>
      </w:pPr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 xml:space="preserve">A Basa utca 1. és a Vörösmarty tér 6., szám alatti ingatlanok </w:t>
      </w:r>
      <w:r w:rsidRPr="008C4742">
        <w:rPr>
          <w:rFonts w:ascii="Arial Narrow" w:eastAsia="Times New Roman" w:hAnsi="Arial Narrow" w:cs="Arial"/>
          <w:b/>
          <w:bCs/>
          <w:color w:val="000000" w:themeColor="text1"/>
          <w:lang w:eastAsia="hu-HU"/>
        </w:rPr>
        <w:t>műemléki védettség</w:t>
      </w:r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 xml:space="preserve"> alatt állnak. </w:t>
      </w:r>
    </w:p>
    <w:p w14:paraId="6FC148B5" w14:textId="77777777" w:rsidR="00641D33" w:rsidRPr="008C4742" w:rsidRDefault="00641D33" w:rsidP="00641D33">
      <w:pPr>
        <w:pStyle w:val="Nincstrkz"/>
        <w:ind w:right="64"/>
        <w:jc w:val="both"/>
        <w:rPr>
          <w:rFonts w:ascii="Arial Narrow" w:eastAsia="Times New Roman" w:hAnsi="Arial Narrow" w:cs="Arial"/>
          <w:color w:val="000000" w:themeColor="text1"/>
          <w:lang w:eastAsia="hu-HU"/>
        </w:rPr>
      </w:pPr>
    </w:p>
    <w:p w14:paraId="650F3453" w14:textId="77777777" w:rsidR="00641D33" w:rsidRPr="008C4742" w:rsidRDefault="00641D33" w:rsidP="00641D33">
      <w:pPr>
        <w:pStyle w:val="Nincstrkz"/>
        <w:ind w:right="64"/>
        <w:jc w:val="both"/>
        <w:rPr>
          <w:rFonts w:ascii="Arial Narrow" w:eastAsia="Times New Roman" w:hAnsi="Arial Narrow" w:cs="Arial"/>
          <w:color w:val="000000" w:themeColor="text1"/>
          <w:lang w:eastAsia="hu-HU"/>
        </w:rPr>
      </w:pPr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 xml:space="preserve">A magyar építészetről szóló 2023. évi C. törvény (a továbbiakban: </w:t>
      </w:r>
      <w:proofErr w:type="spellStart"/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>Méptv</w:t>
      </w:r>
      <w:proofErr w:type="spellEnd"/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>.) 127.§ (1) bekezdése szerint a magyar államot elővásárlási jog illeti meg</w:t>
      </w:r>
    </w:p>
    <w:p w14:paraId="135735A3" w14:textId="77777777" w:rsidR="00641D33" w:rsidRPr="008C4742" w:rsidRDefault="00641D33" w:rsidP="00641D33">
      <w:pPr>
        <w:pStyle w:val="Nincstrkz"/>
        <w:ind w:right="64"/>
        <w:jc w:val="both"/>
        <w:rPr>
          <w:rFonts w:ascii="Arial Narrow" w:eastAsia="Times New Roman" w:hAnsi="Arial Narrow" w:cs="Arial"/>
          <w:color w:val="000000" w:themeColor="text1"/>
          <w:lang w:eastAsia="hu-HU"/>
        </w:rPr>
      </w:pPr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>a) e törvény erejénél fogva az 1998. január 1-je előtt műemlék, műemlék jellegű, városképi jelentőségű kategóriában védettséget szerző védett műemlék ingatlanok esetében,</w:t>
      </w:r>
    </w:p>
    <w:p w14:paraId="13B16DC2" w14:textId="77777777" w:rsidR="00641D33" w:rsidRPr="008C4742" w:rsidRDefault="00641D33" w:rsidP="00641D33">
      <w:pPr>
        <w:pStyle w:val="Nincstrkz"/>
        <w:ind w:right="64"/>
        <w:jc w:val="both"/>
        <w:rPr>
          <w:rFonts w:ascii="Arial Narrow" w:eastAsia="Times New Roman" w:hAnsi="Arial Narrow" w:cs="Arial"/>
          <w:color w:val="000000" w:themeColor="text1"/>
          <w:lang w:eastAsia="hu-HU"/>
        </w:rPr>
      </w:pPr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>b) az 1998. január 1-jétől védettséget szerzett műemlék ingatlanok esetében akkor, ha ezt a védetté nyilvánító vagy a védettséget módosító rendelet kimondja.</w:t>
      </w:r>
    </w:p>
    <w:p w14:paraId="18CC6027" w14:textId="77777777" w:rsidR="00641D33" w:rsidRPr="008C4742" w:rsidRDefault="00641D33" w:rsidP="00641D33">
      <w:pPr>
        <w:pStyle w:val="Nincstrkz"/>
        <w:ind w:right="64"/>
        <w:jc w:val="both"/>
        <w:rPr>
          <w:rFonts w:ascii="Arial Narrow" w:eastAsia="Times New Roman" w:hAnsi="Arial Narrow" w:cs="Arial"/>
          <w:color w:val="000000" w:themeColor="text1"/>
          <w:lang w:eastAsia="hu-HU"/>
        </w:rPr>
      </w:pPr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 xml:space="preserve">A </w:t>
      </w:r>
      <w:proofErr w:type="spellStart"/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>Méptv</w:t>
      </w:r>
      <w:proofErr w:type="spellEnd"/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 xml:space="preserve">. 127.§ (6) bekezdése szerint a Magyar Állam műemlékeken fennálló elővásárlási jogát a kulturális örökség védelméért felelős miniszter gyakorolja. </w:t>
      </w:r>
    </w:p>
    <w:p w14:paraId="7391863E" w14:textId="77777777" w:rsidR="00641D33" w:rsidRPr="008C4742" w:rsidRDefault="00641D33" w:rsidP="00641D33">
      <w:pPr>
        <w:pStyle w:val="Nincstrkz"/>
        <w:ind w:right="64"/>
        <w:jc w:val="both"/>
        <w:rPr>
          <w:rFonts w:ascii="Arial Narrow" w:eastAsia="Times New Roman" w:hAnsi="Arial Narrow" w:cs="Arial"/>
          <w:color w:val="000000" w:themeColor="text1"/>
          <w:lang w:eastAsia="hu-HU"/>
        </w:rPr>
      </w:pPr>
    </w:p>
    <w:p w14:paraId="30D7DCB4" w14:textId="77777777" w:rsidR="00641D33" w:rsidRPr="008C4742" w:rsidRDefault="00641D33" w:rsidP="00641D33">
      <w:pPr>
        <w:pStyle w:val="Nincstrkz"/>
        <w:ind w:right="64"/>
        <w:jc w:val="both"/>
        <w:rPr>
          <w:rFonts w:ascii="Arial Narrow" w:eastAsia="Times New Roman" w:hAnsi="Arial Narrow" w:cs="Arial"/>
          <w:color w:val="000000" w:themeColor="text1"/>
          <w:lang w:eastAsia="hu-HU"/>
        </w:rPr>
      </w:pPr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 xml:space="preserve">Fentieknek és a kulturális örökség védelmével kapcsolatos szabályokról szóló 68/2018. (IV.9.) Korm. rendelet (a továbbiakban: Korm.rendelet) 86.§ a) pontjának megfelelően Vevő köteles az ajánlatot (adásvételi szerződést) a kulturális örökség védelméért felelős miniszterhez címezve, a Fejér Vármegyei Kormányhivatalnak megküldeni. Az elővásárlási jog gyakorlására a jogosultnak az adásvételi szerződés Fejér Vármegyei Kormányhivatalhoz történő megérkezésétől számított 30 napos határidőt biztosít a Korm. rendelet </w:t>
      </w:r>
      <w:r w:rsidRPr="008C4742">
        <w:rPr>
          <w:rFonts w:ascii="Arial Narrow" w:hAnsi="Arial Narrow" w:cs="Arial"/>
          <w:color w:val="000000" w:themeColor="text1"/>
        </w:rPr>
        <w:t>86.§ d) pontja, mely határidő az f) pont szerint</w:t>
      </w:r>
      <w:r w:rsidRPr="008C4742">
        <w:rPr>
          <w:rFonts w:ascii="Arial Narrow" w:eastAsia="Times New Roman" w:hAnsi="Arial Narrow" w:cs="Arial"/>
          <w:color w:val="000000" w:themeColor="text1"/>
          <w:lang w:eastAsia="hu-HU"/>
        </w:rPr>
        <w:t xml:space="preserve"> jogvesztő.</w:t>
      </w:r>
    </w:p>
    <w:p w14:paraId="643AB9AF" w14:textId="77777777" w:rsidR="00641D33" w:rsidRPr="008C4742" w:rsidRDefault="00641D33" w:rsidP="00641D33">
      <w:pPr>
        <w:pStyle w:val="Nincstrkz"/>
        <w:ind w:right="64"/>
        <w:jc w:val="both"/>
        <w:rPr>
          <w:rFonts w:ascii="Arial Narrow" w:hAnsi="Arial Narrow" w:cs="Arial"/>
          <w:color w:val="000000" w:themeColor="text1"/>
        </w:rPr>
      </w:pPr>
      <w:r w:rsidRPr="008C4742">
        <w:rPr>
          <w:rFonts w:ascii="Arial Narrow" w:hAnsi="Arial Narrow" w:cs="Arial"/>
          <w:color w:val="000000" w:themeColor="text1"/>
        </w:rPr>
        <w:t xml:space="preserve">A </w:t>
      </w:r>
      <w:proofErr w:type="spellStart"/>
      <w:r w:rsidRPr="008C4742">
        <w:rPr>
          <w:rFonts w:ascii="Arial Narrow" w:hAnsi="Arial Narrow" w:cs="Arial"/>
          <w:color w:val="000000" w:themeColor="text1"/>
        </w:rPr>
        <w:t>Méptv</w:t>
      </w:r>
      <w:proofErr w:type="spellEnd"/>
      <w:r w:rsidRPr="008C4742">
        <w:rPr>
          <w:rFonts w:ascii="Arial Narrow" w:hAnsi="Arial Narrow" w:cs="Arial"/>
          <w:color w:val="000000" w:themeColor="text1"/>
        </w:rPr>
        <w:t xml:space="preserve">. 126. § (1) bekezdésének értelmében a kulturális örökség védelméért felelős miniszter jóváhagyása szükséges az olyan jogügylethez, melynek alapján a nemzeti vagyon körébe tartozó műemlék tulajdonjoga </w:t>
      </w:r>
      <w:r w:rsidRPr="008C4742">
        <w:rPr>
          <w:rFonts w:ascii="Arial Narrow" w:hAnsi="Arial Narrow" w:cs="Arial"/>
          <w:color w:val="000000" w:themeColor="text1"/>
        </w:rPr>
        <w:lastRenderedPageBreak/>
        <w:t xml:space="preserve">átruházásra kerül, vagy egyéb módon kikerül a nemzeti vagyon köréből, vagy azon osztott tulajdon létesül, mely jóváhagyás nélkül a jogügylet érvénytelen a </w:t>
      </w:r>
      <w:proofErr w:type="spellStart"/>
      <w:r w:rsidRPr="008C4742">
        <w:rPr>
          <w:rFonts w:ascii="Arial Narrow" w:hAnsi="Arial Narrow" w:cs="Arial"/>
          <w:color w:val="000000" w:themeColor="text1"/>
        </w:rPr>
        <w:t>Méptv</w:t>
      </w:r>
      <w:proofErr w:type="spellEnd"/>
      <w:r w:rsidRPr="008C4742">
        <w:rPr>
          <w:rFonts w:ascii="Arial Narrow" w:hAnsi="Arial Narrow" w:cs="Arial"/>
          <w:color w:val="000000" w:themeColor="text1"/>
        </w:rPr>
        <w:t>. 126.§ (5) bekezdés szerint. A miniszter a jóváhagyást a kérelem beérkezésétől számított 30 napon belül adja meg a Korm. rendelet 85.§ szerint.</w:t>
      </w:r>
    </w:p>
    <w:p w14:paraId="3BF255AD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5ACDA54A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A pályázati eljárásban érintett ingatlanok </w:t>
      </w:r>
    </w:p>
    <w:p w14:paraId="1E4AE0C0" w14:textId="77777777" w:rsidR="00641D33" w:rsidRPr="008C4742" w:rsidRDefault="00641D33" w:rsidP="00641D33">
      <w:pPr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műszaki állapotáért, valamint</w:t>
      </w:r>
    </w:p>
    <w:p w14:paraId="399CE990" w14:textId="77777777" w:rsidR="00641D33" w:rsidRPr="008C4742" w:rsidRDefault="00641D33" w:rsidP="00641D33">
      <w:pPr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az elektromos vezetékekhez tartozó kapcsolók csatlakozóaljak állagáért, működőképes állapotáért,</w:t>
      </w:r>
    </w:p>
    <w:p w14:paraId="53B8FB8C" w14:textId="77777777" w:rsidR="00641D33" w:rsidRPr="008C4742" w:rsidRDefault="00641D33" w:rsidP="00641D33">
      <w:pPr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az ingatlanokat is magában foglaló épület központi berendezései (így különösen, de nem kizárólagosan a víz-, a csatorna- és a gázvezeték és a hozzájuk tartozó szerelvények, ideértve az ingatlanban levő vezetékszakaszt is, az elektromos vezeték és érintésvédelmi rendszer állagáért, működőképes állapotáért</w:t>
      </w:r>
    </w:p>
    <w:p w14:paraId="7A971993" w14:textId="77777777" w:rsidR="00641D33" w:rsidRPr="008C4742" w:rsidRDefault="00641D33" w:rsidP="00641D33">
      <w:pPr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az ingatlanokhoz kapcsolódó – mért vagy méretlen – közművezetékek állapotáért, a közművek használhatóságáért és a közműórák meglétéért,</w:t>
      </w:r>
    </w:p>
    <w:p w14:paraId="11BD15F0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az Önkormányzat nem vállal felelősséget, e tekintetben a jog-, és kellékszavatossági igényeket kizárja. </w:t>
      </w:r>
    </w:p>
    <w:p w14:paraId="1DFF63A5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699E610B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Az ingatlanok használatát a vonatkozó jogszabályi előírások, a társasház szervezeti- és működési szabályzata, illetőleg házirendje korlátozhatja. A társasházi közös tulajdonban álló részeket, az egyes ingatlanokhoz tartozó társasházi osztatlan közös eszmei tulajdoni hányadot a társasházi alapító okirat tartalmazza.</w:t>
      </w:r>
    </w:p>
    <w:p w14:paraId="7BFDD45C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53C8C6CE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Az ingatlanok megtekintett állapotban kerülnek értékesítésre.</w:t>
      </w: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</w:t>
      </w:r>
    </w:p>
    <w:p w14:paraId="587FB090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35A57B73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Az ingatlanok járószintje, illetőleg falazata időszakonként vagy állandó jelleggel vizesek, nedvesek lehetnek. Ennek oka az ingatlanok járószint alatti (szuterén, pinceszint) elhelyezkedése, valamint az épületek alapszigetelésének hiányosságai, illetőleg teljes hiánya, valamint a szellőzés megoldatlansága.</w:t>
      </w:r>
    </w:p>
    <w:p w14:paraId="287DBD46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7AD2FFBE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A társasházak alapító okiratában a társasház tulajdonostársai számára elővásárlási jog nincs kikötve. </w:t>
      </w:r>
    </w:p>
    <w:p w14:paraId="0BAA09A6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1540CEE5" w14:textId="77777777" w:rsidR="00641D33" w:rsidRPr="008C4742" w:rsidRDefault="00641D33" w:rsidP="00641D33">
      <w:pPr>
        <w:pStyle w:val="Alcm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A pályázatokat egy példányban, </w:t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zárt borítékban,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„Pályázat a Székesfehérvár, …. szám alatti ingatlan megvásárlására”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jeligével ellátva, az ingatlanokat kezelő </w:t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Székesfehérvári Városfejlesztési Közhasznú Nonprofit Kft.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-</w:t>
      </w:r>
      <w:proofErr w:type="spellStart"/>
      <w:r w:rsidRPr="008C4742">
        <w:rPr>
          <w:rFonts w:ascii="Arial Narrow" w:hAnsi="Arial Narrow" w:cs="Arial"/>
          <w:color w:val="000000" w:themeColor="text1"/>
          <w:sz w:val="22"/>
          <w:szCs w:val="22"/>
        </w:rPr>
        <w:t>hez</w:t>
      </w:r>
      <w:proofErr w:type="spellEnd"/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(8000 Székesfehérvár, Irányi Dániel utca 4., udvari épület földszint, jogi osztály) kell személyesen benyújtani. </w:t>
      </w:r>
    </w:p>
    <w:p w14:paraId="724DD365" w14:textId="77777777" w:rsidR="00641D33" w:rsidRPr="008C4742" w:rsidRDefault="00641D33" w:rsidP="00641D33">
      <w:pPr>
        <w:pStyle w:val="Alcm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2EB3D057" w14:textId="77777777" w:rsidR="00641D33" w:rsidRPr="008C4742" w:rsidRDefault="00641D33" w:rsidP="00641D33">
      <w:pPr>
        <w:pStyle w:val="Alcm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Figyelem! A pályázatok csak személyesen nyújthatók be!</w:t>
      </w:r>
    </w:p>
    <w:p w14:paraId="434C5CD1" w14:textId="77777777" w:rsidR="00641D33" w:rsidRPr="008C4742" w:rsidRDefault="00641D33" w:rsidP="00641D33">
      <w:pPr>
        <w:pStyle w:val="Alcm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14:paraId="63919524" w14:textId="77777777" w:rsidR="00641D33" w:rsidRPr="008C4742" w:rsidRDefault="00641D33" w:rsidP="00641D33">
      <w:pPr>
        <w:pStyle w:val="Alcm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Kapcsolattartók:</w:t>
      </w:r>
    </w:p>
    <w:p w14:paraId="63137066" w14:textId="77777777" w:rsidR="00641D33" w:rsidRPr="008C4742" w:rsidRDefault="00641D33" w:rsidP="00641D33">
      <w:pPr>
        <w:pStyle w:val="Alcm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Ingatlanok megtekintése: 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Gajdó János, telefon: 70/66-99-336, e-mail: </w:t>
      </w:r>
      <w:hyperlink r:id="rId7" w:history="1">
        <w:r w:rsidRPr="008C4742">
          <w:rPr>
            <w:rStyle w:val="Hiperhivatkozs"/>
            <w:rFonts w:ascii="Arial Narrow" w:hAnsi="Arial Narrow" w:cs="Arial"/>
            <w:color w:val="000000" w:themeColor="text1"/>
            <w:sz w:val="22"/>
            <w:szCs w:val="22"/>
          </w:rPr>
          <w:t>gajdo.janos@proalbaregia.hu</w:t>
        </w:r>
      </w:hyperlink>
    </w:p>
    <w:p w14:paraId="7BCBEF97" w14:textId="77777777" w:rsidR="00641D33" w:rsidRPr="008C4742" w:rsidRDefault="00641D33" w:rsidP="00641D33">
      <w:pPr>
        <w:pStyle w:val="Alcm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Egyéb kérdések: </w:t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Dr. Takács Dénes Bálint, telefon: 70/66-99-337, e-mail: </w:t>
      </w:r>
      <w:hyperlink r:id="rId8" w:history="1">
        <w:r w:rsidRPr="008C4742">
          <w:rPr>
            <w:rStyle w:val="Hiperhivatkozs"/>
            <w:rFonts w:ascii="Arial Narrow" w:hAnsi="Arial Narrow" w:cs="Arial"/>
            <w:bCs/>
            <w:color w:val="000000" w:themeColor="text1"/>
            <w:sz w:val="22"/>
            <w:szCs w:val="22"/>
          </w:rPr>
          <w:t>takacs.denes@proalbaregia.hu</w:t>
        </w:r>
      </w:hyperlink>
    </w:p>
    <w:p w14:paraId="59B35B55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14:paraId="50C39FDF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Pályázatok beadási határideje: 2026. február 06. (péntek) 09:00.</w:t>
      </w:r>
    </w:p>
    <w:p w14:paraId="7BD91F9A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A pályázat akkor minősül határidőre benyújtottnak, ha a pályázat ezen időpontig a fent megjelölt címre megérkezik. </w:t>
      </w:r>
    </w:p>
    <w:p w14:paraId="539E3EDF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 határidőn túl érkezett pályázat érvénytelen.</w:t>
      </w:r>
    </w:p>
    <w:p w14:paraId="78DEC873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14:paraId="15BCE302" w14:textId="77777777" w:rsidR="00641D33" w:rsidRPr="008C4742" w:rsidRDefault="00641D33" w:rsidP="00641D33">
      <w:pPr>
        <w:ind w:right="-14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Pályázatok bontásának időpontja, helyszíne: 2026. február 06. (péntek) 09:30 óra,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0A5D87B1" w14:textId="77777777" w:rsidR="00641D33" w:rsidRPr="008C4742" w:rsidRDefault="00641D33" w:rsidP="00641D33">
      <w:pPr>
        <w:ind w:right="-14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Székesfehérvári Városfejlesztési Közhasznú Nonprofit Kft. 8000 Székesfehérvár, Irányi Dániel utca 4., udvari épület </w:t>
      </w:r>
    </w:p>
    <w:p w14:paraId="412B3B1C" w14:textId="77777777" w:rsidR="00641D33" w:rsidRPr="008C4742" w:rsidRDefault="00641D33" w:rsidP="00641D33">
      <w:pPr>
        <w:ind w:right="-143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328788A6" w14:textId="77777777" w:rsidR="00641D33" w:rsidRPr="008C4742" w:rsidRDefault="00641D33" w:rsidP="00641D33">
      <w:pPr>
        <w:ind w:right="-14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A pályázatok bontásán a pályázók – külön értesítés nélkül – vehetnek részt.</w:t>
      </w:r>
    </w:p>
    <w:p w14:paraId="14921C3A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14:paraId="4451A154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Az esetleges licittárgyalás időpontja, helyszíne: 2026. február 06. (péntek) </w:t>
      </w:r>
    </w:p>
    <w:p w14:paraId="0AA6FF91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A pályázatok bontását követően azonnal, 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Székesfehérvári Városfejlesztési Közhasznú Nonprofit Kft. Székesfehérvár, Irányi Dániel utca 4. udvari épület.</w:t>
      </w:r>
    </w:p>
    <w:p w14:paraId="43A70E4E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59540365" w14:textId="77777777" w:rsidR="00641D33" w:rsidRPr="008C4742" w:rsidRDefault="00641D33" w:rsidP="00641D33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  <w:t>Pályázati feltételek és tájékoztató:</w:t>
      </w:r>
    </w:p>
    <w:p w14:paraId="0713219F" w14:textId="77777777" w:rsidR="00641D33" w:rsidRPr="008C4742" w:rsidRDefault="00641D33" w:rsidP="00641D33">
      <w:pPr>
        <w:ind w:hanging="5245"/>
        <w:jc w:val="both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Pályázati feltételek és tájékoztató:</w:t>
      </w:r>
    </w:p>
    <w:p w14:paraId="03FD81C5" w14:textId="77777777" w:rsidR="00641D33" w:rsidRPr="008C4742" w:rsidRDefault="00641D33" w:rsidP="00641D33">
      <w:p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lastRenderedPageBreak/>
        <w:t>1.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Az ingatlanokra természetes személyek, egyéni vállalkozók, ill. a nemzeti vagyonról szóló 2011. évi CXCVI. törvény 3. § (1) bekezdés 1. pontjában meghatározottak szerinti átlátható szervezetek pályázhatnak.</w:t>
      </w:r>
    </w:p>
    <w:p w14:paraId="2F680E1A" w14:textId="77777777" w:rsidR="00641D33" w:rsidRPr="008C4742" w:rsidRDefault="00641D33" w:rsidP="00641D33">
      <w:p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45F1C360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2. A pályázat érvényességének feltételei: </w:t>
      </w:r>
    </w:p>
    <w:p w14:paraId="66E12219" w14:textId="77777777" w:rsidR="00641D33" w:rsidRPr="008C4742" w:rsidRDefault="00641D33" w:rsidP="00641D33">
      <w:pPr>
        <w:pStyle w:val="Default"/>
        <w:ind w:left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A pályázathoz a következő iratok együttes benyújtása szükséges. </w:t>
      </w:r>
    </w:p>
    <w:p w14:paraId="65E60C52" w14:textId="77777777" w:rsidR="00641D33" w:rsidRPr="008C4742" w:rsidRDefault="00641D33" w:rsidP="00641D33">
      <w:pPr>
        <w:pStyle w:val="Default"/>
        <w:ind w:left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A pályázat, valamint a becsatolt mellékletek minden oldalát aláírással kell ellátni. </w:t>
      </w:r>
    </w:p>
    <w:p w14:paraId="45738D91" w14:textId="77777777" w:rsidR="00641D33" w:rsidRPr="008C4742" w:rsidRDefault="00641D33" w:rsidP="00641D33">
      <w:pPr>
        <w:pStyle w:val="Default"/>
        <w:numPr>
          <w:ilvl w:val="0"/>
          <w:numId w:val="5"/>
        </w:numPr>
        <w:spacing w:after="31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A 3. pontban leírt pályázati biztosíték bankszámlára határidőben történő befizetését igazoló bizonylat, </w:t>
      </w:r>
    </w:p>
    <w:p w14:paraId="7D0ABD1A" w14:textId="77777777" w:rsidR="00641D33" w:rsidRPr="008C4742" w:rsidRDefault="00641D33" w:rsidP="00641D33">
      <w:pPr>
        <w:pStyle w:val="Default"/>
        <w:numPr>
          <w:ilvl w:val="0"/>
          <w:numId w:val="5"/>
        </w:numPr>
        <w:spacing w:after="31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kitöltött pályázati adatlap, melyen </w:t>
      </w:r>
    </w:p>
    <w:p w14:paraId="20058EF3" w14:textId="77777777" w:rsidR="00641D33" w:rsidRPr="008C4742" w:rsidRDefault="00641D33" w:rsidP="00641D33">
      <w:pPr>
        <w:pStyle w:val="Default"/>
        <w:spacing w:after="27"/>
        <w:ind w:left="709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− </w:t>
      </w:r>
      <w:r w:rsidRPr="008C4742">
        <w:rPr>
          <w:rFonts w:ascii="Arial Narrow" w:hAnsi="Arial Narrow"/>
          <w:color w:val="000000" w:themeColor="text1"/>
          <w:sz w:val="22"/>
          <w:szCs w:val="22"/>
        </w:rPr>
        <w:tab/>
        <w:t xml:space="preserve">egyértelműen megjelölésre kerül az ingatlan, melyre a pályázat benyújtásra kerül, </w:t>
      </w:r>
    </w:p>
    <w:p w14:paraId="1049C78A" w14:textId="77777777" w:rsidR="00641D33" w:rsidRPr="008C4742" w:rsidRDefault="00641D33" w:rsidP="00641D33">
      <w:pPr>
        <w:pStyle w:val="Default"/>
        <w:spacing w:after="27"/>
        <w:ind w:left="709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− </w:t>
      </w:r>
      <w:r w:rsidRPr="008C4742">
        <w:rPr>
          <w:rFonts w:ascii="Arial Narrow" w:hAnsi="Arial Narrow"/>
          <w:color w:val="000000" w:themeColor="text1"/>
          <w:sz w:val="22"/>
          <w:szCs w:val="22"/>
        </w:rPr>
        <w:tab/>
        <w:t xml:space="preserve">egyértelműen megjelölésre kerül a vételárra tett ajánlat, </w:t>
      </w:r>
    </w:p>
    <w:p w14:paraId="7978A2A4" w14:textId="77777777" w:rsidR="00641D33" w:rsidRPr="008C4742" w:rsidRDefault="00641D33" w:rsidP="00641D33">
      <w:pPr>
        <w:pStyle w:val="Default"/>
        <w:spacing w:after="27"/>
        <w:ind w:left="709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− </w:t>
      </w:r>
      <w:r w:rsidRPr="008C4742">
        <w:rPr>
          <w:rFonts w:ascii="Arial Narrow" w:hAnsi="Arial Narrow"/>
          <w:color w:val="000000" w:themeColor="text1"/>
          <w:sz w:val="22"/>
          <w:szCs w:val="22"/>
        </w:rPr>
        <w:tab/>
        <w:t xml:space="preserve">nyilatkozni szükséges arról, hogy a pályázónak nincsen köztartozása, </w:t>
      </w:r>
    </w:p>
    <w:p w14:paraId="24045F8C" w14:textId="77777777" w:rsidR="00641D33" w:rsidRPr="008C4742" w:rsidRDefault="00641D33" w:rsidP="00641D33">
      <w:pPr>
        <w:pStyle w:val="Default"/>
        <w:spacing w:after="27"/>
        <w:ind w:left="709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− </w:t>
      </w:r>
      <w:r w:rsidRPr="008C4742">
        <w:rPr>
          <w:rFonts w:ascii="Arial Narrow" w:hAnsi="Arial Narrow"/>
          <w:color w:val="000000" w:themeColor="text1"/>
          <w:sz w:val="22"/>
          <w:szCs w:val="22"/>
        </w:rPr>
        <w:tab/>
        <w:t xml:space="preserve">nyilatkozni szükséges arról, hogy a pályázó </w:t>
      </w:r>
      <w:r w:rsidRPr="008C4742">
        <w:rPr>
          <w:rFonts w:ascii="Arial Narrow" w:hAnsi="Arial Narrow"/>
          <w:color w:val="000000" w:themeColor="text1"/>
          <w:sz w:val="22"/>
          <w:szCs w:val="22"/>
          <w:lang w:eastAsia="ar-SA"/>
        </w:rPr>
        <w:t>a pályázati kiírásban leírt valamennyi feltételt megértette, pályázati feltételeket elfogadja,</w:t>
      </w: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56D23BF9" w14:textId="77777777" w:rsidR="00641D33" w:rsidRPr="008C4742" w:rsidRDefault="00641D33" w:rsidP="00641D33">
      <w:pPr>
        <w:pStyle w:val="Default"/>
        <w:ind w:left="709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− </w:t>
      </w:r>
      <w:r w:rsidRPr="008C4742">
        <w:rPr>
          <w:rFonts w:ascii="Arial Narrow" w:hAnsi="Arial Narrow"/>
          <w:color w:val="000000" w:themeColor="text1"/>
          <w:sz w:val="22"/>
          <w:szCs w:val="22"/>
        </w:rPr>
        <w:tab/>
        <w:t>nyilatkozni szükséges arról, hogy az ingatlant mind a valóságban, mind a térképen megismerte</w:t>
      </w:r>
    </w:p>
    <w:p w14:paraId="5A53AF8C" w14:textId="77777777" w:rsidR="00641D33" w:rsidRPr="008C4742" w:rsidRDefault="00641D33" w:rsidP="00641D33">
      <w:pPr>
        <w:pStyle w:val="Default"/>
        <w:numPr>
          <w:ilvl w:val="0"/>
          <w:numId w:val="6"/>
        </w:numPr>
        <w:ind w:left="709" w:hanging="425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 xml:space="preserve">jogi személy esetén csatolandó: </w:t>
      </w:r>
    </w:p>
    <w:p w14:paraId="578283DF" w14:textId="77777777" w:rsidR="00641D33" w:rsidRPr="008C4742" w:rsidRDefault="00641D33" w:rsidP="00641D33">
      <w:pPr>
        <w:numPr>
          <w:ilvl w:val="0"/>
          <w:numId w:val="1"/>
        </w:numPr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nyilatkozat, hogy a pályázó a nemzeti vagyonról szóló 2011. évi CXCVI. törvény szerint átlátható szervezetnek minősül,</w:t>
      </w:r>
    </w:p>
    <w:p w14:paraId="4509DF13" w14:textId="77777777" w:rsidR="00641D33" w:rsidRPr="008C4742" w:rsidRDefault="00641D33" w:rsidP="00641D33">
      <w:pPr>
        <w:numPr>
          <w:ilvl w:val="0"/>
          <w:numId w:val="1"/>
        </w:numPr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közjegyző által hitelesített aláírási címpéldány vagy ügyvéd által ellenjegyzett aláírás-minta másolata.</w:t>
      </w:r>
    </w:p>
    <w:p w14:paraId="26BFA64F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215BE657" w14:textId="77777777" w:rsidR="00641D33" w:rsidRPr="008C4742" w:rsidRDefault="00641D33" w:rsidP="00641D33">
      <w:pPr>
        <w:ind w:left="284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A hiányosan benyújtott pályázat érvénytelen!  Az Önkormányzat a pályázók részére a hiánypótlás lehetőségét nem biztosítja!</w:t>
      </w:r>
    </w:p>
    <w:p w14:paraId="5DA04F93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14:paraId="6A19AE8A" w14:textId="77777777" w:rsidR="00641D33" w:rsidRPr="008C4742" w:rsidRDefault="00641D33" w:rsidP="00641D33">
      <w:pPr>
        <w:ind w:left="284" w:hanging="284"/>
        <w:jc w:val="both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3.  A pályázó köteles </w:t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a pályázni kívánt ingatlan bruttó forgalmi értéke (minimális eladási ára) 10%-</w:t>
      </w:r>
      <w:proofErr w:type="spellStart"/>
      <w:r w:rsidRPr="008C4742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ának</w:t>
      </w:r>
      <w:proofErr w:type="spellEnd"/>
      <w:r w:rsidRPr="008C4742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megfelelő mértékű pályázati biztosíték</w:t>
      </w: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megfizetésére</w:t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>, amelyet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a Székesfehérvári Városfejlesztési Közhasznú Nonprofit Kft. Raiffeisen Bank Zrt. székesfehérvári fiókjánál vezetett 12023008-01131183-00100001 számú számlájára kell átutalni, bármely Raiffeisen Bankfiókban készpénzben befizetni, vagy készpénz-átutalási megbízással (csekk) megfizetni. </w:t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Pályázó pályázati csekket a 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Székesfehérvári Városfejlesztési Közhasznú Nonprofit</w:t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Kft.-nél kaphat. 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 nyertes pályázó által befizetett pályázati biztosíték a vételárba beszámításra kerül, a többi pályázó részére a pályázati biztosítékot a Székesfehérvári Városfejlesztési Közhasznú Nonprofit</w:t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Kft.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az eredményhirdetést követő 15 napon belül, kamatmentesen visszautalja.</w:t>
      </w:r>
    </w:p>
    <w:p w14:paraId="7649D2CD" w14:textId="77777777" w:rsidR="00641D33" w:rsidRPr="008C4742" w:rsidRDefault="00641D33" w:rsidP="00641D33">
      <w:pPr>
        <w:ind w:left="284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14:paraId="0928E72E" w14:textId="77777777" w:rsidR="00641D33" w:rsidRPr="008C4742" w:rsidRDefault="00641D33" w:rsidP="00641D33">
      <w:pPr>
        <w:ind w:left="284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Amennyiben a szerződés megkötése a nyertes pályázónak felróható okból, vagy érdekkörében felmerült más okból hiúsul meg, a befizetett pályázati biztosíték az Önkormányzatot illeti meg. 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 pályázati biztosíték visszajár a pályázati felhívás Önkormányzat részéről történő visszavonása, a pályázó ajánlatának a pályázat beadási határidejének lejárta előtti visszavonása, valamint a pályázat érvénytelensége esetén is.</w:t>
      </w:r>
    </w:p>
    <w:p w14:paraId="013987FC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172291D6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4.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A pályázati eljárás hivatalos nyelve a magyar.</w:t>
      </w:r>
    </w:p>
    <w:p w14:paraId="24417691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14:paraId="7E6E6403" w14:textId="77777777" w:rsidR="00641D33" w:rsidRPr="008C4742" w:rsidRDefault="00641D33" w:rsidP="00641D33">
      <w:pPr>
        <w:ind w:left="284" w:hanging="284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5. </w:t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ab/>
        <w:t xml:space="preserve">Bírálati szempont: megajánlott vételár. Az adott ingatlan eladási ára az érvényes pályázatok közül a legmagasabb vételi ajánlattal (legmagasabb megajánlott vételár) egyezik meg azzal, hogy a vételár nem lehet kevesebb az ingatlan forgalmi értékénél. </w:t>
      </w: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A pályázat nyertese az a pályázó, aki a legmagasabb ajánlatot tette a vételárra feltéve, ha a pályázati kiírásnak mindenben megfelelő a pályázata. </w:t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Amennyiben a legmagasabb vételi ajánlatot több érvényes pályázat azonosan tartalmazza, úgy az Önkormányzat a legmagasabb érvényes vételi ajánlatot tevők részére licittárgyalást tart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, a licittárgyaláson megajánlható minimális licitlépcső 10 ezer forint. A licittárgyalás nyertese a legmagasabb vételi ajánlatot tevő pályázó, az ingatlan vételára a nyertes pályázó által ajánlott összeg. </w:t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A licittárgyaláson a legmagasabb érvényes vételi ajánlatot tevő pályázók – külön értesítés nélkül – vehetnek részt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14:paraId="6BFFCCA6" w14:textId="77777777" w:rsidR="00641D33" w:rsidRPr="008C4742" w:rsidRDefault="00641D33" w:rsidP="00641D33">
      <w:pPr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4F5AE0C8" w14:textId="77777777" w:rsidR="00641D33" w:rsidRPr="008C4742" w:rsidRDefault="00641D33" w:rsidP="00641D33">
      <w:pPr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Amennyiben a legmagasabb vételi ajánlat az ingatlan forgalmi értékét nem éri el, úgy a pályázati eljárás eredménytelennek minősül. A pályázati eljárás eredményéről Székesfehérvár Megyei Jogú Város Önkormányzat Közgyűlése a pályázati határidő lejártát követő első ülésén dönt.</w:t>
      </w:r>
    </w:p>
    <w:p w14:paraId="5DEC9D45" w14:textId="77777777" w:rsidR="00641D33" w:rsidRPr="008C4742" w:rsidRDefault="00641D33" w:rsidP="00641D33">
      <w:pPr>
        <w:ind w:left="360" w:hanging="3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6. Érvénytelen a pályázat,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ha</w:t>
      </w:r>
    </w:p>
    <w:p w14:paraId="595A3901" w14:textId="77777777" w:rsidR="00641D33" w:rsidRPr="008C4742" w:rsidRDefault="00641D33" w:rsidP="00641D33">
      <w:pPr>
        <w:pStyle w:val="Default"/>
        <w:spacing w:after="31"/>
        <w:ind w:left="426" w:hanging="142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>- határidőn túl nyújtották be,</w:t>
      </w:r>
    </w:p>
    <w:p w14:paraId="7549CC81" w14:textId="77777777" w:rsidR="00641D33" w:rsidRPr="008C4742" w:rsidRDefault="00641D33" w:rsidP="00641D33">
      <w:pPr>
        <w:pStyle w:val="Default"/>
        <w:spacing w:after="31"/>
        <w:ind w:left="426" w:hanging="142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lastRenderedPageBreak/>
        <w:t>- olyan pályázó nyújtotta be, aki nem jogosult részt venni a pályázaton,</w:t>
      </w:r>
    </w:p>
    <w:p w14:paraId="2B375558" w14:textId="77777777" w:rsidR="00641D33" w:rsidRPr="008C4742" w:rsidRDefault="00641D33" w:rsidP="00641D33">
      <w:pPr>
        <w:pStyle w:val="Default"/>
        <w:spacing w:after="31"/>
        <w:ind w:left="426" w:hanging="142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C4742">
        <w:rPr>
          <w:rFonts w:ascii="Arial Narrow" w:hAnsi="Arial Narrow"/>
          <w:color w:val="000000" w:themeColor="text1"/>
          <w:sz w:val="22"/>
          <w:szCs w:val="22"/>
        </w:rPr>
        <w:t>- a pályázat nem felel meg a pályázati kiírás tartalmi elemeinek, ideértve, ha a pályázati felhívásban megadott forgalmi értéknél alacsonyabb összegű ajánlati árat tartalmaz.</w:t>
      </w:r>
    </w:p>
    <w:p w14:paraId="04D1DAC7" w14:textId="77777777" w:rsidR="00641D33" w:rsidRPr="008C4742" w:rsidRDefault="00641D33" w:rsidP="00641D33">
      <w:p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01C2B48D" w14:textId="77777777" w:rsidR="00641D33" w:rsidRPr="008C4742" w:rsidRDefault="00641D33" w:rsidP="00641D33">
      <w:pPr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7.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Az adásvételi szerződést az eladásról szóló döntés közlésétől számított 60 napon belül kell megkötni. </w:t>
      </w:r>
    </w:p>
    <w:p w14:paraId="259537CD" w14:textId="77777777" w:rsidR="00641D33" w:rsidRPr="008C4742" w:rsidRDefault="00641D33" w:rsidP="00641D33">
      <w:pPr>
        <w:pStyle w:val="Listaszerbekezds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A vételárat a vevőnek a szerződés hatálybalépését és érvényességére vonatkozó miniszteri nyilatkozat kézhezvételét követően 30 napon belül, egy összegben kell megfizetnie az alábbi</w:t>
      </w: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, pályázati kiírás sorszámával is jelölt műemléki ingatlanok adásvétele esetén: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688A7E40" w14:textId="77777777" w:rsidR="00641D33" w:rsidRPr="008C4742" w:rsidRDefault="00641D33" w:rsidP="00641D33">
      <w:pPr>
        <w:pStyle w:val="Listaszerbekezds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- 1. Basa utca 1. pinceszint 1., hrsz: 92/A/19,</w:t>
      </w:r>
    </w:p>
    <w:p w14:paraId="241A58BC" w14:textId="77777777" w:rsidR="00641D33" w:rsidRPr="008C4742" w:rsidRDefault="00641D33" w:rsidP="00641D33">
      <w:pPr>
        <w:pStyle w:val="Listaszerbekezds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- 2. Basa utca 1. pinceszint 2., hrsz: 92/A/20,</w:t>
      </w:r>
    </w:p>
    <w:p w14:paraId="21CAE4F6" w14:textId="77777777" w:rsidR="00641D33" w:rsidRPr="008C4742" w:rsidRDefault="00641D33" w:rsidP="00641D33">
      <w:pPr>
        <w:pStyle w:val="Listaszerbekezds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- 3. Vörösmarty tér 6. pinceszint, hrsz: 521/A/10, </w:t>
      </w:r>
    </w:p>
    <w:p w14:paraId="7FBE81D6" w14:textId="77777777" w:rsidR="00641D33" w:rsidRPr="008C4742" w:rsidRDefault="00641D33" w:rsidP="00641D33">
      <w:pPr>
        <w:pStyle w:val="Listaszerbekezds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4A87F217" w14:textId="77777777" w:rsidR="00641D33" w:rsidRPr="008C4742" w:rsidRDefault="00641D33" w:rsidP="00641D33">
      <w:pPr>
        <w:pStyle w:val="Listaszerbekezds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Az adásvételi szerződés érvényességének, illetve hatálybalépésének feltétele a </w:t>
      </w:r>
      <w:proofErr w:type="spellStart"/>
      <w:r w:rsidRPr="008C4742">
        <w:rPr>
          <w:rFonts w:ascii="Arial Narrow" w:hAnsi="Arial Narrow" w:cs="Arial"/>
          <w:color w:val="000000" w:themeColor="text1"/>
          <w:sz w:val="22"/>
          <w:szCs w:val="22"/>
        </w:rPr>
        <w:t>Méptv</w:t>
      </w:r>
      <w:proofErr w:type="spellEnd"/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. 126.§ szerinti miniszteri jóváhagyás megadása és a </w:t>
      </w:r>
      <w:proofErr w:type="spellStart"/>
      <w:r w:rsidRPr="008C4742">
        <w:rPr>
          <w:rFonts w:ascii="Arial Narrow" w:hAnsi="Arial Narrow" w:cs="Arial"/>
          <w:color w:val="000000" w:themeColor="text1"/>
          <w:sz w:val="22"/>
          <w:szCs w:val="22"/>
        </w:rPr>
        <w:t>Méptv</w:t>
      </w:r>
      <w:proofErr w:type="spellEnd"/>
      <w:r w:rsidRPr="008C4742">
        <w:rPr>
          <w:rFonts w:ascii="Arial Narrow" w:hAnsi="Arial Narrow" w:cs="Arial"/>
          <w:color w:val="000000" w:themeColor="text1"/>
          <w:sz w:val="22"/>
          <w:szCs w:val="22"/>
        </w:rPr>
        <w:t>. 127.§ szerinti elővásárlási joggal kapcsolatos lemondó nyilatkozat megtétele, illetve jogvesztő határidő letelte.</w:t>
      </w:r>
    </w:p>
    <w:p w14:paraId="5C5F463A" w14:textId="77777777" w:rsidR="00641D33" w:rsidRPr="008C4742" w:rsidRDefault="00641D33" w:rsidP="00641D33">
      <w:pPr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</w:p>
    <w:p w14:paraId="4E161229" w14:textId="77777777" w:rsidR="00641D33" w:rsidRPr="008C4742" w:rsidRDefault="00641D33" w:rsidP="00641D33">
      <w:pPr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A vételár megfizetésére részletfizetés vagy egyéb kedvezmény nem biztosítható. Az Önkormányzat fenntartja jogát, hogy az adásvételi szerződés megkötéséig </w:t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a pályázati eljárást bármikor, indokolás nélkül eredménytelennek nyilvánítja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. A pályázat kiírása nem jelent konkrét szerződéskötési ajánlatot.</w:t>
      </w:r>
    </w:p>
    <w:p w14:paraId="3FC388BC" w14:textId="77777777" w:rsidR="00641D33" w:rsidRPr="008C4742" w:rsidRDefault="00641D33" w:rsidP="00641D33">
      <w:pPr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 pályázó a pályázat beadási határideje lejártáig benyújtott pályázatát bármikor, indokolás nélkül visszavonhatja.</w:t>
      </w:r>
    </w:p>
    <w:p w14:paraId="4B6165F8" w14:textId="77777777" w:rsidR="00641D33" w:rsidRPr="008C4742" w:rsidRDefault="00641D33" w:rsidP="00641D33">
      <w:pPr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7291B47B" w14:textId="77777777" w:rsidR="00641D33" w:rsidRPr="008C4742" w:rsidRDefault="00641D33" w:rsidP="00641D33">
      <w:pPr>
        <w:pStyle w:val="Listaszerbekezds"/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8. </w:t>
      </w: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ab/>
        <w:t>Az Önkormányzat független értékbecslő által készített értékbecslés figyelembevételével állapította meg az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 ingatlanok forgalmi értékét. </w:t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A későbbiek során semmilyen jogcímen – jogalap nélküli gazdagodás vagy rejtett hiba – nem élhet a vevő az Önkormányzattal szemben megtérítési, kártérítési, vagy </w:t>
      </w:r>
      <w:proofErr w:type="spellStart"/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ármérséklési</w:t>
      </w:r>
      <w:proofErr w:type="spellEnd"/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, csere igénnyel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.</w:t>
      </w:r>
    </w:p>
    <w:p w14:paraId="5AC5C745" w14:textId="77777777" w:rsidR="00641D33" w:rsidRPr="008C4742" w:rsidRDefault="00641D33" w:rsidP="00641D33">
      <w:pPr>
        <w:pStyle w:val="Listaszerbekezds"/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707A942E" w14:textId="77777777" w:rsidR="00641D33" w:rsidRPr="008C4742" w:rsidRDefault="00641D33" w:rsidP="00641D33">
      <w:pPr>
        <w:pStyle w:val="Listaszerbekezds"/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9. 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Amennyiben a pályázata olyan adatot tartalmaz, amelynek egy esetleges közérdekű adatigénylés teljesítése során történő kiadása az üzleti tevékenysége végzése szempontjából aránytalan sérelmet okozna a nyertes pályázónak, akkor ezt a tényt – a sérelmet okozó adat, illetve a sérelem okának pontos megjelölésével – a pályázatában írásban jelezni kell. Ennek hiányában úgy tekintjük, hogy a pályázata nem tartalmaz olyan adatot, amelynek egy esetleges közérdekű adatigénylés teljesítése során történő kiadása üzleti tevékenysége végzése szempontjából aránytalan sérelmet okozna. A pályázattal kapcsolatos adatkezelésről az önkormányzati tulajdonú ingatlan, illetve létesítmény értékesítésével (a pályázat benyújtásával és a nyertes pályázóval való szerződéskötéssel) kapcsolatos adatkezeléshez készített Adatkezelési tájékoztató tartalmaz részletes információkat.</w:t>
      </w:r>
    </w:p>
    <w:p w14:paraId="29939B0E" w14:textId="77777777" w:rsidR="00641D33" w:rsidRPr="008C4742" w:rsidRDefault="00641D33" w:rsidP="00641D33">
      <w:pPr>
        <w:pStyle w:val="Listaszerbekezds"/>
        <w:ind w:left="284" w:hanging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1EB022C2" w14:textId="77777777" w:rsidR="00641D33" w:rsidRPr="008C4742" w:rsidRDefault="00641D33" w:rsidP="00641D33">
      <w:pPr>
        <w:ind w:left="284" w:hanging="426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10.</w:t>
      </w:r>
      <w:r w:rsidRPr="008C4742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>Az ingatlanok megtekintése előzetes időpont egyeztetés mellett lehetséges</w:t>
      </w:r>
      <w:r w:rsidRPr="008C4742">
        <w:rPr>
          <w:rFonts w:ascii="Arial Narrow" w:hAnsi="Arial Narrow" w:cs="Arial"/>
          <w:color w:val="000000" w:themeColor="text1"/>
          <w:sz w:val="22"/>
          <w:szCs w:val="22"/>
        </w:rPr>
        <w:t xml:space="preserve">. </w:t>
      </w:r>
      <w:r w:rsidRPr="008C4742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Az ingatlanokat a helyiségek kezelője, a Székesfehérvári Városfejlesztési Közhasznú Nonprofit Kft. munkatársai mutatják meg: </w:t>
      </w:r>
    </w:p>
    <w:p w14:paraId="66322891" w14:textId="77777777" w:rsidR="00641D33" w:rsidRPr="008C4742" w:rsidRDefault="00641D33" w:rsidP="00641D33">
      <w:pPr>
        <w:pStyle w:val="Listaszerbekezds"/>
        <w:numPr>
          <w:ilvl w:val="0"/>
          <w:numId w:val="3"/>
        </w:numPr>
        <w:contextualSpacing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Gajdó János 70/66-99-336</w:t>
      </w:r>
    </w:p>
    <w:p w14:paraId="2D4B3671" w14:textId="77777777" w:rsidR="00641D33" w:rsidRPr="008C4742" w:rsidRDefault="00641D33" w:rsidP="00641D33">
      <w:pPr>
        <w:pStyle w:val="Listaszerbekezds"/>
        <w:numPr>
          <w:ilvl w:val="0"/>
          <w:numId w:val="3"/>
        </w:numPr>
        <w:contextualSpacing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color w:val="000000" w:themeColor="text1"/>
          <w:sz w:val="22"/>
          <w:szCs w:val="22"/>
        </w:rPr>
        <w:t>Dr. Takács Dénes Bálint 70/66-99-337.</w:t>
      </w:r>
    </w:p>
    <w:p w14:paraId="397458E1" w14:textId="77777777" w:rsidR="00641D33" w:rsidRPr="008C4742" w:rsidRDefault="00641D33" w:rsidP="00641D33">
      <w:pPr>
        <w:jc w:val="both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3F8282AF" w14:textId="11D9EECE" w:rsidR="00641D33" w:rsidRPr="008C4742" w:rsidRDefault="00641D33" w:rsidP="00641D33">
      <w:pPr>
        <w:jc w:val="both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>Székesfehérvár, 2025.</w:t>
      </w:r>
      <w:r w:rsidR="008C4742"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októbe</w:t>
      </w:r>
      <w:r w:rsidR="008C4742">
        <w:rPr>
          <w:rFonts w:ascii="Arial Narrow" w:hAnsi="Arial Narrow" w:cs="Arial"/>
          <w:bCs/>
          <w:color w:val="000000" w:themeColor="text1"/>
          <w:sz w:val="22"/>
          <w:szCs w:val="22"/>
        </w:rPr>
        <w:t>r 17.</w:t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</w:t>
      </w:r>
    </w:p>
    <w:p w14:paraId="0CDC5057" w14:textId="77777777" w:rsidR="00641D33" w:rsidRPr="008C4742" w:rsidRDefault="00641D33" w:rsidP="00641D33">
      <w:pPr>
        <w:jc w:val="both"/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34C4B8D6" w14:textId="2C11D7CC" w:rsidR="00641D33" w:rsidRPr="008C4742" w:rsidRDefault="00641D33" w:rsidP="008C4742">
      <w:pPr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Székesfehérvár Megyei Jogú Város Önkormányzata </w:t>
      </w:r>
    </w:p>
    <w:p w14:paraId="79F3C693" w14:textId="439075B7" w:rsidR="00641D33" w:rsidRPr="008C4742" w:rsidRDefault="00641D33" w:rsidP="00641D33">
      <w:pPr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>nevében és megbízásából:</w:t>
      </w:r>
    </w:p>
    <w:p w14:paraId="1815F7A1" w14:textId="77777777" w:rsidR="00641D33" w:rsidRPr="008C4742" w:rsidRDefault="00641D33" w:rsidP="00641D33">
      <w:pPr>
        <w:rPr>
          <w:rFonts w:ascii="Arial Narrow" w:hAnsi="Arial Narrow" w:cs="Arial"/>
          <w:bCs/>
          <w:color w:val="000000" w:themeColor="text1"/>
          <w:sz w:val="22"/>
          <w:szCs w:val="22"/>
        </w:rPr>
      </w:pPr>
    </w:p>
    <w:p w14:paraId="1DC9A9A4" w14:textId="77777777" w:rsidR="00641D33" w:rsidRPr="008C4742" w:rsidRDefault="00641D33" w:rsidP="00641D33">
      <w:pPr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</w:p>
    <w:p w14:paraId="5C7DBD5C" w14:textId="1800C7B2" w:rsidR="00641D33" w:rsidRPr="008C4742" w:rsidRDefault="00641D33" w:rsidP="00641D33">
      <w:pPr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="008C4742">
        <w:rPr>
          <w:rFonts w:ascii="Arial Narrow" w:hAnsi="Arial Narrow" w:cs="Arial"/>
          <w:bCs/>
          <w:color w:val="000000" w:themeColor="text1"/>
          <w:sz w:val="22"/>
          <w:szCs w:val="22"/>
        </w:rPr>
        <w:tab/>
      </w: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>Székesfehérvári Városfejlesztési Közhasznú Nonprofit Kft.</w:t>
      </w:r>
    </w:p>
    <w:p w14:paraId="4472E6B6" w14:textId="6AB2EA85" w:rsidR="00641D33" w:rsidRPr="008C4742" w:rsidRDefault="008C4742" w:rsidP="00641D33">
      <w:pPr>
        <w:rPr>
          <w:rFonts w:ascii="Arial Narrow" w:hAnsi="Arial Narrow" w:cs="Arial"/>
          <w:bCs/>
          <w:color w:val="000000" w:themeColor="text1"/>
          <w:sz w:val="22"/>
          <w:szCs w:val="22"/>
        </w:rPr>
      </w:pPr>
      <w:r>
        <w:rPr>
          <w:rFonts w:ascii="Arial Narrow" w:hAnsi="Arial Narrow" w:cs="Arial"/>
          <w:bCs/>
          <w:color w:val="000000" w:themeColor="text1"/>
          <w:sz w:val="22"/>
          <w:szCs w:val="22"/>
        </w:rPr>
        <w:t>M</w:t>
      </w:r>
      <w:r w:rsidR="00641D33"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>elléklet:</w:t>
      </w:r>
    </w:p>
    <w:p w14:paraId="0709BE5F" w14:textId="77777777" w:rsidR="00641D33" w:rsidRPr="008C4742" w:rsidRDefault="00641D33" w:rsidP="00641D33">
      <w:pPr>
        <w:numPr>
          <w:ilvl w:val="0"/>
          <w:numId w:val="1"/>
        </w:numPr>
        <w:jc w:val="both"/>
        <w:rPr>
          <w:rFonts w:ascii="Arial Narrow" w:hAnsi="Arial Narrow" w:cs="Arial"/>
          <w:bCs/>
          <w:color w:val="000000" w:themeColor="text1"/>
          <w:sz w:val="22"/>
          <w:szCs w:val="22"/>
        </w:rPr>
      </w:pPr>
      <w:r w:rsidRPr="008C4742">
        <w:rPr>
          <w:rFonts w:ascii="Arial Narrow" w:hAnsi="Arial Narrow" w:cs="Arial"/>
          <w:bCs/>
          <w:color w:val="000000" w:themeColor="text1"/>
          <w:sz w:val="22"/>
          <w:szCs w:val="22"/>
        </w:rPr>
        <w:t>pályázati adatlap</w:t>
      </w:r>
    </w:p>
    <w:p w14:paraId="6FDA2BBD" w14:textId="77777777" w:rsidR="008C4742" w:rsidRDefault="008C4742" w:rsidP="00641D33">
      <w:pPr>
        <w:jc w:val="center"/>
        <w:rPr>
          <w:rFonts w:ascii="Arial Narrow" w:hAnsi="Arial Narrow"/>
          <w:b/>
          <w:iCs/>
          <w:smallCaps/>
          <w:color w:val="000000" w:themeColor="text1"/>
          <w:sz w:val="22"/>
          <w:szCs w:val="22"/>
          <w:u w:val="single"/>
        </w:rPr>
      </w:pPr>
      <w:r w:rsidRPr="008C4742">
        <w:rPr>
          <w:rFonts w:ascii="Arial Narrow" w:hAnsi="Arial Narrow"/>
          <w:b/>
          <w:iCs/>
          <w:smallCaps/>
          <w:noProof/>
          <w:color w:val="000000" w:themeColor="text1"/>
          <w:sz w:val="22"/>
          <w:szCs w:val="22"/>
          <w:u w:val="single"/>
        </w:rPr>
        <w:lastRenderedPageBreak/>
        <w:drawing>
          <wp:inline distT="0" distB="0" distL="0" distR="0" wp14:anchorId="599F269A" wp14:editId="42534519">
            <wp:extent cx="5760720" cy="8434070"/>
            <wp:effectExtent l="0" t="0" r="0" b="5080"/>
            <wp:docPr id="78977049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704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3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3EACC" w14:textId="77777777" w:rsidR="008C4742" w:rsidRDefault="008C4742" w:rsidP="00641D33">
      <w:pPr>
        <w:jc w:val="center"/>
        <w:rPr>
          <w:rFonts w:ascii="Arial Narrow" w:hAnsi="Arial Narrow"/>
          <w:b/>
          <w:iCs/>
          <w:smallCaps/>
          <w:color w:val="000000" w:themeColor="text1"/>
          <w:sz w:val="22"/>
          <w:szCs w:val="22"/>
          <w:u w:val="single"/>
        </w:rPr>
      </w:pPr>
    </w:p>
    <w:sectPr w:rsidR="008C4742" w:rsidSect="008C4742">
      <w:footerReference w:type="even" r:id="rId10"/>
      <w:footerReference w:type="default" r:id="rId11"/>
      <w:pgSz w:w="11906" w:h="16838"/>
      <w:pgMar w:top="1417" w:right="1417" w:bottom="1560" w:left="1417" w:header="709" w:footer="31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B06B" w14:textId="77777777" w:rsidR="00797F6D" w:rsidRDefault="00797F6D">
      <w:r>
        <w:separator/>
      </w:r>
    </w:p>
  </w:endnote>
  <w:endnote w:type="continuationSeparator" w:id="0">
    <w:p w14:paraId="3E8EBCFD" w14:textId="77777777" w:rsidR="00797F6D" w:rsidRDefault="0079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3B71" w14:textId="77777777" w:rsidR="00641D33" w:rsidRDefault="00641D33" w:rsidP="00AD273A">
    <w:pPr>
      <w:pStyle w:val="llb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4</w:t>
    </w:r>
    <w:r>
      <w:rPr>
        <w:rStyle w:val="Oldalszm"/>
        <w:rFonts w:eastAsiaTheme="majorEastAsia"/>
      </w:rPr>
      <w:fldChar w:fldCharType="end"/>
    </w:r>
  </w:p>
  <w:p w14:paraId="655552F0" w14:textId="77777777" w:rsidR="00641D33" w:rsidRDefault="00641D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156A" w14:textId="77777777" w:rsidR="00641D33" w:rsidRPr="006D575A" w:rsidRDefault="00641D33">
    <w:pPr>
      <w:pStyle w:val="llb"/>
      <w:jc w:val="center"/>
      <w:rPr>
        <w:sz w:val="20"/>
        <w:szCs w:val="20"/>
      </w:rPr>
    </w:pPr>
    <w:r w:rsidRPr="006D575A">
      <w:rPr>
        <w:sz w:val="20"/>
        <w:szCs w:val="20"/>
      </w:rPr>
      <w:fldChar w:fldCharType="begin"/>
    </w:r>
    <w:r w:rsidRPr="006D575A">
      <w:rPr>
        <w:sz w:val="20"/>
        <w:szCs w:val="20"/>
      </w:rPr>
      <w:instrText>PAGE   \* MERGEFORMAT</w:instrText>
    </w:r>
    <w:r w:rsidRPr="006D575A">
      <w:rPr>
        <w:sz w:val="20"/>
        <w:szCs w:val="20"/>
      </w:rPr>
      <w:fldChar w:fldCharType="separate"/>
    </w:r>
    <w:r w:rsidRPr="006D575A">
      <w:rPr>
        <w:sz w:val="20"/>
        <w:szCs w:val="20"/>
      </w:rPr>
      <w:t>2</w:t>
    </w:r>
    <w:r w:rsidRPr="006D575A">
      <w:rPr>
        <w:sz w:val="20"/>
        <w:szCs w:val="20"/>
      </w:rPr>
      <w:fldChar w:fldCharType="end"/>
    </w:r>
  </w:p>
  <w:p w14:paraId="4C0A8C40" w14:textId="77777777" w:rsidR="00641D33" w:rsidRDefault="00641D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E34A" w14:textId="77777777" w:rsidR="00797F6D" w:rsidRDefault="00797F6D">
      <w:r>
        <w:separator/>
      </w:r>
    </w:p>
  </w:footnote>
  <w:footnote w:type="continuationSeparator" w:id="0">
    <w:p w14:paraId="2C853B8B" w14:textId="77777777" w:rsidR="00797F6D" w:rsidRDefault="0079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3FF"/>
    <w:multiLevelType w:val="hybridMultilevel"/>
    <w:tmpl w:val="87208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574F"/>
    <w:multiLevelType w:val="hybridMultilevel"/>
    <w:tmpl w:val="72D60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34B3"/>
    <w:multiLevelType w:val="hybridMultilevel"/>
    <w:tmpl w:val="F1CCB2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D1891"/>
    <w:multiLevelType w:val="hybridMultilevel"/>
    <w:tmpl w:val="4CBC35F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A71C57"/>
    <w:multiLevelType w:val="hybridMultilevel"/>
    <w:tmpl w:val="F490F0EC"/>
    <w:lvl w:ilvl="0" w:tplc="E38612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D114E"/>
    <w:multiLevelType w:val="hybridMultilevel"/>
    <w:tmpl w:val="719A9D6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67197814">
    <w:abstractNumId w:val="4"/>
  </w:num>
  <w:num w:numId="2" w16cid:durableId="1808280083">
    <w:abstractNumId w:val="2"/>
  </w:num>
  <w:num w:numId="3" w16cid:durableId="100227203">
    <w:abstractNumId w:val="5"/>
  </w:num>
  <w:num w:numId="4" w16cid:durableId="1662585117">
    <w:abstractNumId w:val="0"/>
  </w:num>
  <w:num w:numId="5" w16cid:durableId="1878082041">
    <w:abstractNumId w:val="1"/>
  </w:num>
  <w:num w:numId="6" w16cid:durableId="1845316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33"/>
    <w:rsid w:val="003F26B9"/>
    <w:rsid w:val="00641D33"/>
    <w:rsid w:val="00797F6D"/>
    <w:rsid w:val="008C4742"/>
    <w:rsid w:val="00D1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8D95"/>
  <w15:chartTrackingRefBased/>
  <w15:docId w15:val="{21A8E528-17AB-476E-8667-40B3CD3E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1D33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41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1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1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1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1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1D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1D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1D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1D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1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1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1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1D3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1D3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1D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1D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1D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1D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1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41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qFormat/>
    <w:rsid w:val="00641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rsid w:val="00641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1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41D33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 Paragraph1,bekezdés1,Bullet_1"/>
    <w:basedOn w:val="Norml"/>
    <w:link w:val="ListaszerbekezdsChar"/>
    <w:uiPriority w:val="34"/>
    <w:qFormat/>
    <w:rsid w:val="00641D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41D3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1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1D3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1D3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uiPriority w:val="99"/>
    <w:rsid w:val="00641D33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641D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41D33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Oldalszm">
    <w:name w:val="page number"/>
    <w:basedOn w:val="Bekezdsalapbettpusa"/>
    <w:rsid w:val="00641D33"/>
  </w:style>
  <w:style w:type="paragraph" w:styleId="Nincstrkz">
    <w:name w:val="No Spacing"/>
    <w:uiPriority w:val="1"/>
    <w:qFormat/>
    <w:rsid w:val="00641D3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641D33"/>
  </w:style>
  <w:style w:type="paragraph" w:customStyle="1" w:styleId="Default">
    <w:name w:val="Default"/>
    <w:qFormat/>
    <w:rsid w:val="00641D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cs.denes@proalbaregi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jdo.janos@proalbaregia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12287</Characters>
  <Application>Microsoft Office Word</Application>
  <DocSecurity>4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Dénes</dc:creator>
  <cp:keywords/>
  <dc:description/>
  <cp:lastModifiedBy>Somogyi Zsuzsanna</cp:lastModifiedBy>
  <cp:revision>2</cp:revision>
  <dcterms:created xsi:type="dcterms:W3CDTF">2025-11-21T11:52:00Z</dcterms:created>
  <dcterms:modified xsi:type="dcterms:W3CDTF">2025-11-21T11:52:00Z</dcterms:modified>
</cp:coreProperties>
</file>